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33" w:rsidRPr="004761CE" w:rsidRDefault="00B72933" w:rsidP="00B72933">
      <w:pPr>
        <w:suppressAutoHyphens w:val="0"/>
        <w:spacing w:after="0" w:line="240" w:lineRule="auto"/>
        <w:jc w:val="center"/>
        <w:outlineLvl w:val="2"/>
        <w:rPr>
          <w:rFonts w:ascii="Verdana" w:hAnsi="Verdana" w:cs="Arial"/>
          <w:b/>
          <w:bCs/>
          <w:kern w:val="0"/>
          <w:sz w:val="20"/>
          <w:szCs w:val="20"/>
          <w:lang w:eastAsia="ru-RU"/>
        </w:rPr>
      </w:pPr>
      <w:r w:rsidRPr="004761CE">
        <w:rPr>
          <w:rFonts w:ascii="Verdana" w:hAnsi="Verdana" w:cs="Arial"/>
          <w:b/>
          <w:bCs/>
          <w:kern w:val="0"/>
          <w:sz w:val="20"/>
          <w:szCs w:val="20"/>
          <w:lang w:eastAsia="ru-RU"/>
        </w:rPr>
        <w:t xml:space="preserve">Благотворительный фонд «Металлург» объявляет о проведении </w:t>
      </w:r>
    </w:p>
    <w:p w:rsidR="00B72933" w:rsidRDefault="00B72933" w:rsidP="00B72933">
      <w:pPr>
        <w:suppressAutoHyphens w:val="0"/>
        <w:spacing w:after="0" w:line="240" w:lineRule="auto"/>
        <w:jc w:val="center"/>
        <w:outlineLvl w:val="2"/>
        <w:rPr>
          <w:rFonts w:ascii="Verdana" w:hAnsi="Verdana" w:cs="Arial"/>
          <w:kern w:val="0"/>
          <w:sz w:val="20"/>
          <w:szCs w:val="20"/>
          <w:lang w:eastAsia="ru-RU"/>
        </w:rPr>
      </w:pPr>
      <w:r w:rsidRPr="004761CE">
        <w:rPr>
          <w:rFonts w:ascii="Verdana" w:hAnsi="Verdana" w:cs="Arial"/>
          <w:b/>
          <w:bCs/>
          <w:kern w:val="0"/>
          <w:sz w:val="20"/>
          <w:szCs w:val="20"/>
          <w:lang w:eastAsia="ru-RU"/>
        </w:rPr>
        <w:t xml:space="preserve">конкурсного отбора (тендера) </w:t>
      </w:r>
      <w:r w:rsidRPr="00961DAB">
        <w:rPr>
          <w:rFonts w:ascii="Verdana" w:hAnsi="Verdana" w:cs="Arial"/>
          <w:b/>
          <w:bCs/>
          <w:kern w:val="0"/>
          <w:sz w:val="20"/>
          <w:szCs w:val="20"/>
          <w:lang w:eastAsia="ru-RU"/>
        </w:rPr>
        <w:t xml:space="preserve">поставщика </w:t>
      </w:r>
      <w:r w:rsidRPr="00961DAB">
        <w:rPr>
          <w:rFonts w:ascii="Verdana" w:hAnsi="Verdana" w:cs="Arial"/>
          <w:b/>
          <w:kern w:val="0"/>
          <w:sz w:val="20"/>
          <w:szCs w:val="20"/>
          <w:lang w:eastAsia="ru-RU"/>
        </w:rPr>
        <w:t>канцелярских наборов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</w:t>
      </w:r>
    </w:p>
    <w:p w:rsidR="00B72933" w:rsidRDefault="00B72933" w:rsidP="00B72933">
      <w:pPr>
        <w:suppressAutoHyphens w:val="0"/>
        <w:spacing w:after="0" w:line="240" w:lineRule="auto"/>
        <w:jc w:val="center"/>
        <w:outlineLvl w:val="2"/>
        <w:rPr>
          <w:rFonts w:ascii="Verdana" w:hAnsi="Verdana" w:cs="Arial"/>
          <w:kern w:val="0"/>
          <w:sz w:val="20"/>
          <w:szCs w:val="20"/>
          <w:lang w:eastAsia="ru-RU"/>
        </w:rPr>
      </w:pPr>
    </w:p>
    <w:p w:rsidR="00B72933" w:rsidRDefault="009D057C" w:rsidP="00B72933">
      <w:pPr>
        <w:suppressAutoHyphens w:val="0"/>
        <w:spacing w:after="0" w:line="240" w:lineRule="auto"/>
        <w:outlineLvl w:val="2"/>
        <w:rPr>
          <w:rFonts w:ascii="Verdana" w:hAnsi="Verdana" w:cs="Arial"/>
          <w:kern w:val="0"/>
          <w:sz w:val="20"/>
          <w:szCs w:val="20"/>
          <w:lang w:eastAsia="ru-RU"/>
        </w:rPr>
      </w:pPr>
      <w:r>
        <w:rPr>
          <w:rFonts w:ascii="Verdana" w:hAnsi="Verdana" w:cs="Arial"/>
          <w:kern w:val="0"/>
          <w:sz w:val="20"/>
          <w:szCs w:val="20"/>
          <w:lang w:eastAsia="ru-RU"/>
        </w:rPr>
        <w:t>11</w:t>
      </w:r>
      <w:r w:rsidR="00B72933" w:rsidRPr="004761CE">
        <w:rPr>
          <w:rFonts w:ascii="Verdana" w:hAnsi="Verdana" w:cs="Arial"/>
          <w:kern w:val="0"/>
          <w:sz w:val="20"/>
          <w:szCs w:val="20"/>
          <w:lang w:eastAsia="ru-RU"/>
        </w:rPr>
        <w:t>.0</w:t>
      </w:r>
      <w:r>
        <w:rPr>
          <w:rFonts w:ascii="Verdana" w:hAnsi="Verdana" w:cs="Arial"/>
          <w:kern w:val="0"/>
          <w:sz w:val="20"/>
          <w:szCs w:val="20"/>
          <w:lang w:eastAsia="ru-RU"/>
        </w:rPr>
        <w:t>6</w:t>
      </w:r>
      <w:r w:rsidR="00B72933" w:rsidRPr="004761CE">
        <w:rPr>
          <w:rFonts w:ascii="Verdana" w:hAnsi="Verdana" w:cs="Arial"/>
          <w:kern w:val="0"/>
          <w:sz w:val="20"/>
          <w:szCs w:val="20"/>
          <w:lang w:eastAsia="ru-RU"/>
        </w:rPr>
        <w:t>.202</w:t>
      </w:r>
      <w:r>
        <w:rPr>
          <w:rFonts w:ascii="Verdana" w:hAnsi="Verdana" w:cs="Arial"/>
          <w:kern w:val="0"/>
          <w:sz w:val="20"/>
          <w:szCs w:val="20"/>
          <w:lang w:eastAsia="ru-RU"/>
        </w:rPr>
        <w:t>4</w:t>
      </w:r>
    </w:p>
    <w:p w:rsidR="00B72933" w:rsidRPr="004761CE" w:rsidRDefault="00B72933" w:rsidP="00B72933">
      <w:pPr>
        <w:suppressAutoHyphens w:val="0"/>
        <w:spacing w:after="0" w:line="240" w:lineRule="auto"/>
        <w:outlineLvl w:val="2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ИЗВЕЩЕНИЕ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об открытом конкурсном отборе (тендере)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поставщика канцелярских наборов ко Дню знаний</w:t>
      </w:r>
      <w:bookmarkStart w:id="0" w:name="_GoBack"/>
      <w:bookmarkEnd w:id="0"/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Благотворительный фонд «Металлург»  предлагает производителям и поставщикам канцелярских товаров принять участие в открытом конкурсном отборе (тендере) поставщика канцелярских наборов ко Дню знаний на право заключения договоров на поставку канцелярских наборов.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К участию в открытом конкурсном отборе (тендере) допускаются юридические лица при наличии: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1. Заявка на участие.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2. Учредительные документы.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3. Свидетельство о регистрации.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4. Свидетельство о постановке на налоговый учёт.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 xml:space="preserve">Документы, указанные в </w:t>
      </w:r>
      <w:proofErr w:type="spellStart"/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п.п</w:t>
      </w:r>
      <w:proofErr w:type="spellEnd"/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. 2-4 извещения, могут быть предъявлены в виде ксерокопий.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Представители участников открытого конкурсного отбора (тендера) допускаются к конкурсу (тендеру) при предъявлении оригинала доверенности и документа, удостоверяющего личность.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 xml:space="preserve">Заявку на участие в открытом конкурсном отборе (тендере) необходимо подать до 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21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.06.202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4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года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 xml:space="preserve"> (включительно)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на электронную почту </w:t>
      </w:r>
      <w:r w:rsidRPr="004761CE">
        <w:rPr>
          <w:rFonts w:ascii="Verdana" w:eastAsia="Calibri" w:hAnsi="Verdana" w:cs="Times New Roman"/>
          <w:kern w:val="0"/>
          <w:sz w:val="20"/>
          <w:szCs w:val="20"/>
          <w:lang w:eastAsia="en-US"/>
        </w:rPr>
        <w:t xml:space="preserve"> </w:t>
      </w:r>
      <w:hyperlink r:id="rId5" w:history="1">
        <w:r w:rsidRPr="004761CE">
          <w:rPr>
            <w:rFonts w:ascii="Verdana" w:eastAsia="Calibri" w:hAnsi="Verdana" w:cs="Times New Roman"/>
            <w:kern w:val="0"/>
            <w:sz w:val="20"/>
            <w:szCs w:val="20"/>
            <w:u w:val="single"/>
            <w:lang w:eastAsia="en-US"/>
          </w:rPr>
          <w:t>kadochnikova.nv@fondmetallurg.ru</w:t>
        </w:r>
      </w:hyperlink>
      <w:r w:rsidRPr="004761CE">
        <w:rPr>
          <w:rFonts w:ascii="Verdana" w:eastAsia="Calibri" w:hAnsi="Verdana" w:cs="Times New Roman"/>
          <w:kern w:val="0"/>
          <w:sz w:val="20"/>
          <w:szCs w:val="20"/>
          <w:u w:val="single"/>
          <w:lang w:eastAsia="en-US"/>
        </w:rPr>
        <w:t>.</w:t>
      </w:r>
    </w:p>
    <w:p w:rsidR="00B72933" w:rsidRPr="004761CE" w:rsidRDefault="00B72933" w:rsidP="00B72933">
      <w:pPr>
        <w:suppressAutoHyphens w:val="0"/>
        <w:rPr>
          <w:rFonts w:ascii="Verdana" w:hAnsi="Verdana" w:cs="Arial"/>
          <w:kern w:val="0"/>
          <w:sz w:val="20"/>
          <w:szCs w:val="20"/>
          <w:lang w:eastAsia="ru-RU"/>
        </w:rPr>
      </w:pP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Дата и время проведения открытого конкурсного отбора (тендера) 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26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.06.202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4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г. 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в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11:00 ч.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Место проведения: г. Магнитогорск, пр. Сиреневый, 12. Офис БФ «Металлург».</w:t>
      </w:r>
    </w:p>
    <w:p w:rsidR="00B72933" w:rsidRPr="004761CE" w:rsidRDefault="00B72933" w:rsidP="00B72933">
      <w:pPr>
        <w:suppressAutoHyphens w:val="0"/>
        <w:rPr>
          <w:rFonts w:ascii="Verdana" w:hAnsi="Verdana" w:cs="Arial"/>
          <w:kern w:val="0"/>
          <w:sz w:val="20"/>
          <w:szCs w:val="20"/>
          <w:lang w:eastAsia="ru-RU"/>
        </w:rPr>
      </w:pP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Срок на заключение договора поставки: до 0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5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.07.202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4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г.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Стоимость к</w:t>
      </w:r>
      <w:r w:rsidRPr="004761CE">
        <w:rPr>
          <w:rFonts w:ascii="Verdana" w:hAnsi="Verdana"/>
          <w:sz w:val="20"/>
          <w:szCs w:val="20"/>
        </w:rPr>
        <w:t xml:space="preserve">анцелярского набора 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по цене 1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5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00 рублей (с учетом НДС): </w:t>
      </w:r>
    </w:p>
    <w:p w:rsidR="00B72933" w:rsidRPr="004761CE" w:rsidRDefault="00B72933" w:rsidP="00B729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761CE">
        <w:rPr>
          <w:rFonts w:ascii="Verdana" w:hAnsi="Verdana"/>
          <w:b/>
          <w:sz w:val="20"/>
          <w:szCs w:val="20"/>
        </w:rPr>
        <w:t>ЛОТ № 1</w:t>
      </w:r>
    </w:p>
    <w:p w:rsidR="00B72933" w:rsidRPr="004761CE" w:rsidRDefault="00B72933" w:rsidP="00B729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761CE">
        <w:rPr>
          <w:rFonts w:ascii="Verdana" w:hAnsi="Verdana"/>
          <w:sz w:val="20"/>
          <w:szCs w:val="20"/>
        </w:rPr>
        <w:t>Канцелярский набор для учащихся 1-5 классов – 8</w:t>
      </w:r>
      <w:r w:rsidR="009D057C">
        <w:rPr>
          <w:rFonts w:ascii="Verdana" w:hAnsi="Verdana"/>
          <w:sz w:val="20"/>
          <w:szCs w:val="20"/>
        </w:rPr>
        <w:t>5</w:t>
      </w:r>
      <w:r w:rsidRPr="004761CE">
        <w:rPr>
          <w:rFonts w:ascii="Verdana" w:hAnsi="Verdana"/>
          <w:sz w:val="20"/>
          <w:szCs w:val="20"/>
        </w:rPr>
        <w:t>0 шт.;</w:t>
      </w:r>
    </w:p>
    <w:p w:rsidR="00B72933" w:rsidRPr="004761CE" w:rsidRDefault="00B72933" w:rsidP="00B72933">
      <w:pPr>
        <w:suppressAutoHyphens w:val="0"/>
        <w:rPr>
          <w:rFonts w:ascii="Verdana" w:hAnsi="Verdana"/>
          <w:sz w:val="20"/>
          <w:szCs w:val="20"/>
        </w:rPr>
      </w:pPr>
      <w:r w:rsidRPr="004761CE">
        <w:rPr>
          <w:rFonts w:ascii="Verdana" w:hAnsi="Verdana" w:cs="Arial"/>
          <w:b/>
          <w:kern w:val="0"/>
          <w:sz w:val="20"/>
          <w:szCs w:val="20"/>
          <w:u w:val="single"/>
          <w:lang w:eastAsia="ru-RU"/>
        </w:rPr>
        <w:t>Уточнение: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из состава канцелярского набора ЛОТ № 1 исключить из набора маркер выделители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,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фломастеры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, подставку для книг и учебников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.</w:t>
      </w:r>
    </w:p>
    <w:p w:rsidR="00B72933" w:rsidRPr="004761CE" w:rsidRDefault="00B72933" w:rsidP="00B729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761CE">
        <w:rPr>
          <w:rFonts w:ascii="Verdana" w:hAnsi="Verdana"/>
          <w:b/>
          <w:sz w:val="20"/>
          <w:szCs w:val="20"/>
        </w:rPr>
        <w:t>ЛОТ № 2</w:t>
      </w:r>
    </w:p>
    <w:p w:rsidR="00B72933" w:rsidRPr="004761CE" w:rsidRDefault="00B72933" w:rsidP="00B729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761CE">
        <w:rPr>
          <w:rFonts w:ascii="Verdana" w:hAnsi="Verdana"/>
          <w:sz w:val="20"/>
          <w:szCs w:val="20"/>
        </w:rPr>
        <w:t xml:space="preserve">Канцелярский набор для учащихся 6-11 классов  – </w:t>
      </w:r>
      <w:r w:rsidR="009D057C">
        <w:rPr>
          <w:rFonts w:ascii="Verdana" w:hAnsi="Verdana"/>
          <w:sz w:val="20"/>
          <w:szCs w:val="20"/>
        </w:rPr>
        <w:t>85</w:t>
      </w:r>
      <w:r w:rsidRPr="004761CE">
        <w:rPr>
          <w:rFonts w:ascii="Verdana" w:hAnsi="Verdana"/>
          <w:sz w:val="20"/>
          <w:szCs w:val="20"/>
        </w:rPr>
        <w:t>0 шт.;</w:t>
      </w:r>
    </w:p>
    <w:p w:rsidR="00B72933" w:rsidRPr="004761CE" w:rsidRDefault="00B72933" w:rsidP="00B72933">
      <w:pPr>
        <w:suppressAutoHyphens w:val="0"/>
        <w:rPr>
          <w:rFonts w:ascii="Verdana" w:hAnsi="Verdana" w:cs="Arial"/>
          <w:kern w:val="0"/>
          <w:sz w:val="20"/>
          <w:szCs w:val="20"/>
          <w:lang w:eastAsia="ru-RU"/>
        </w:rPr>
      </w:pPr>
      <w:r w:rsidRPr="004761CE">
        <w:rPr>
          <w:rFonts w:ascii="Verdana" w:hAnsi="Verdana" w:cs="Arial"/>
          <w:b/>
          <w:kern w:val="0"/>
          <w:sz w:val="20"/>
          <w:szCs w:val="20"/>
          <w:u w:val="single"/>
          <w:lang w:eastAsia="ru-RU"/>
        </w:rPr>
        <w:t>Уточнение: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в составе канцелярского набора ЛОТ № 2 должен быть калькулятор. Исключить из набора дневник, маркер выделители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 xml:space="preserve">, 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>фломастеры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,</w:t>
      </w:r>
      <w:r w:rsidR="009D057C" w:rsidRPr="009D057C">
        <w:rPr>
          <w:rFonts w:ascii="Verdana" w:hAnsi="Verdana" w:cs="Arial"/>
          <w:kern w:val="0"/>
          <w:sz w:val="20"/>
          <w:szCs w:val="20"/>
          <w:lang w:eastAsia="ru-RU"/>
        </w:rPr>
        <w:t xml:space="preserve"> </w:t>
      </w:r>
      <w:r w:rsidR="009D057C">
        <w:rPr>
          <w:rFonts w:ascii="Verdana" w:hAnsi="Verdana" w:cs="Arial"/>
          <w:kern w:val="0"/>
          <w:sz w:val="20"/>
          <w:szCs w:val="20"/>
          <w:lang w:eastAsia="ru-RU"/>
        </w:rPr>
        <w:t>подставку для книг и учебников</w:t>
      </w:r>
      <w:r w:rsidR="009D057C" w:rsidRPr="004761CE">
        <w:rPr>
          <w:rFonts w:ascii="Verdana" w:hAnsi="Verdana" w:cs="Arial"/>
          <w:kern w:val="0"/>
          <w:sz w:val="20"/>
          <w:szCs w:val="20"/>
          <w:lang w:eastAsia="ru-RU"/>
        </w:rPr>
        <w:t>.</w:t>
      </w:r>
    </w:p>
    <w:p w:rsidR="00E73823" w:rsidRDefault="00B72933" w:rsidP="00B72933"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 xml:space="preserve">  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tab/>
        <w:t>При заключении договора</w:t>
      </w:r>
      <w:r w:rsidRPr="004761CE">
        <w:rPr>
          <w:rFonts w:ascii="Verdana" w:hAnsi="Verdana" w:cs="Times New Roman"/>
          <w:sz w:val="20"/>
          <w:szCs w:val="20"/>
        </w:rPr>
        <w:t xml:space="preserve"> Заказчик по согласованию с участником, с которым заключается договор поставки, вправе увеличить или уменьшить количество поставляемых Канцелярских наборов по заявленной цене.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  <w:t>Контактное лицо – Кадочникова Надежда Валерьевна, 8 (3519) 40-03-57, 8 90 80 90 60 40.</w:t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4761CE">
        <w:rPr>
          <w:rFonts w:ascii="Verdana" w:hAnsi="Verdana" w:cs="Arial"/>
          <w:kern w:val="0"/>
          <w:sz w:val="20"/>
          <w:szCs w:val="20"/>
          <w:lang w:eastAsia="ru-RU"/>
        </w:rPr>
        <w:br/>
      </w:r>
      <w:r w:rsidRPr="00691554">
        <w:rPr>
          <w:rFonts w:ascii="Verdana" w:hAnsi="Verdana" w:cs="Arial"/>
          <w:color w:val="FF0000"/>
          <w:kern w:val="0"/>
          <w:sz w:val="20"/>
          <w:szCs w:val="20"/>
          <w:lang w:eastAsia="ru-RU"/>
        </w:rPr>
        <w:t xml:space="preserve">Посмотреть Документацию о проведении конкурсного отбора (тендера) можно </w:t>
      </w:r>
      <w:r>
        <w:rPr>
          <w:rFonts w:ascii="Verdana" w:hAnsi="Verdana" w:cs="Arial"/>
          <w:color w:val="FF0000"/>
          <w:kern w:val="0"/>
          <w:sz w:val="20"/>
          <w:szCs w:val="20"/>
          <w:lang w:eastAsia="ru-RU"/>
        </w:rPr>
        <w:t>з</w:t>
      </w:r>
      <w:r w:rsidRPr="00691554">
        <w:rPr>
          <w:rFonts w:ascii="Verdana" w:hAnsi="Verdana" w:cs="Arial"/>
          <w:color w:val="FF0000"/>
          <w:kern w:val="0"/>
          <w:sz w:val="20"/>
          <w:szCs w:val="20"/>
          <w:lang w:eastAsia="ru-RU"/>
        </w:rPr>
        <w:t>десь ___________</w:t>
      </w:r>
    </w:p>
    <w:sectPr w:rsidR="00E73823" w:rsidSect="00477F84">
      <w:pgSz w:w="11906" w:h="16838"/>
      <w:pgMar w:top="737" w:right="62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33"/>
    <w:rsid w:val="00477F84"/>
    <w:rsid w:val="005D61EE"/>
    <w:rsid w:val="009D057C"/>
    <w:rsid w:val="00B72933"/>
    <w:rsid w:val="00BD29EB"/>
    <w:rsid w:val="00E24B12"/>
    <w:rsid w:val="00E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3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3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ochnikova.nv@fondmetallu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Кадочникова</dc:creator>
  <cp:lastModifiedBy>Надежда Кадочникова</cp:lastModifiedBy>
  <cp:revision>3</cp:revision>
  <cp:lastPrinted>2024-06-11T09:50:00Z</cp:lastPrinted>
  <dcterms:created xsi:type="dcterms:W3CDTF">2023-05-30T09:36:00Z</dcterms:created>
  <dcterms:modified xsi:type="dcterms:W3CDTF">2024-06-11T09:51:00Z</dcterms:modified>
</cp:coreProperties>
</file>